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FE" w:rsidRPr="006051EC" w:rsidRDefault="007222F7" w:rsidP="006051EC">
      <w:pPr>
        <w:jc w:val="center"/>
        <w:rPr>
          <w:rFonts w:ascii="Garamond" w:eastAsia="Garamond" w:hAnsi="Garamond" w:cs="Garamond"/>
          <w:b/>
          <w:sz w:val="20"/>
        </w:rPr>
      </w:pPr>
      <w:r w:rsidRPr="006051EC">
        <w:rPr>
          <w:rFonts w:ascii="Garamond" w:eastAsia="Garamond" w:hAnsi="Garamond" w:cs="Garamond"/>
          <w:b/>
          <w:sz w:val="20"/>
        </w:rPr>
        <w:t>NOTIFICACIÓN DEL MARCO NORMATIVO, FUNCIONES, OBLIGACIONES Y CURSOS MANDATORIOS PARA EL PERSONAL DE ESTRUCTURA DEL INSTITUTO DE ESTUDIOS SUPERIORES DE LA CIUDAD DE MÉXICO “ROSARIO CASTELLANOS.</w:t>
      </w:r>
    </w:p>
    <w:p w:rsidR="000C15FE" w:rsidRPr="006051EC" w:rsidRDefault="007222F7">
      <w:pPr>
        <w:jc w:val="both"/>
        <w:rPr>
          <w:rFonts w:ascii="Garamond" w:eastAsia="Garamond" w:hAnsi="Garamond" w:cs="Garamond"/>
          <w:sz w:val="20"/>
        </w:rPr>
      </w:pPr>
      <w:bookmarkStart w:id="0" w:name="_heading=h.30j0zll" w:colFirst="0" w:colLast="0"/>
      <w:bookmarkEnd w:id="0"/>
      <w:r w:rsidRPr="006051EC">
        <w:rPr>
          <w:rFonts w:ascii="Garamond" w:eastAsia="Garamond" w:hAnsi="Garamond" w:cs="Garamond"/>
          <w:sz w:val="20"/>
        </w:rPr>
        <w:t xml:space="preserve">Por medio del presente, el que suscribe L.C. Hugo Donovan Moreno Castillo, en mi calidad de Director de Administración y Finanzas del Instituto de Estudios Superiores de la Ciudad de México “Rosario Castellanos”, en términos del artículo 129 fracciones I, </w:t>
      </w:r>
      <w:r w:rsidRPr="006051EC">
        <w:rPr>
          <w:rFonts w:ascii="Garamond" w:eastAsia="Garamond" w:hAnsi="Garamond" w:cs="Garamond"/>
          <w:sz w:val="20"/>
        </w:rPr>
        <w:t>XI, XIII, XIV y XXI del Reglamento Interior del Poder Ejecutivo y de la Administración Pública de la Ciudad de México, hago de su conocimiento, tanto las funciones que le son conferidas de conformidad con nombramiento emitido a su favor, como las obligacio</w:t>
      </w:r>
      <w:r w:rsidRPr="006051EC">
        <w:rPr>
          <w:rFonts w:ascii="Garamond" w:eastAsia="Garamond" w:hAnsi="Garamond" w:cs="Garamond"/>
          <w:sz w:val="20"/>
        </w:rPr>
        <w:t>nes y legislación general que le es aplicable como servidor público de la Ciudad de México.</w:t>
      </w:r>
    </w:p>
    <w:p w:rsidR="000C15FE" w:rsidRPr="006051EC" w:rsidRDefault="000C15FE">
      <w:pPr>
        <w:spacing w:after="0"/>
        <w:jc w:val="both"/>
        <w:rPr>
          <w:rFonts w:ascii="Garamond" w:eastAsia="Garamond" w:hAnsi="Garamond" w:cs="Garamond"/>
          <w:sz w:val="20"/>
        </w:rPr>
      </w:pPr>
    </w:p>
    <w:p w:rsidR="000C15FE" w:rsidRPr="006051EC" w:rsidRDefault="007222F7">
      <w:pPr>
        <w:jc w:val="center"/>
        <w:rPr>
          <w:rFonts w:ascii="Garamond" w:eastAsia="Garamond" w:hAnsi="Garamond" w:cs="Garamond"/>
          <w:b/>
          <w:sz w:val="20"/>
        </w:rPr>
      </w:pPr>
      <w:r w:rsidRPr="006051EC">
        <w:rPr>
          <w:rFonts w:ascii="Garamond" w:eastAsia="Garamond" w:hAnsi="Garamond" w:cs="Garamond"/>
          <w:b/>
          <w:sz w:val="20"/>
        </w:rPr>
        <w:t>MARCO NORMATIVO.</w:t>
      </w:r>
    </w:p>
    <w:p w:rsidR="000C15FE" w:rsidRPr="006051EC" w:rsidRDefault="007222F7">
      <w:pPr>
        <w:jc w:val="both"/>
        <w:rPr>
          <w:rFonts w:ascii="Garamond" w:eastAsia="Garamond" w:hAnsi="Garamond" w:cs="Garamond"/>
          <w:sz w:val="20"/>
        </w:rPr>
      </w:pPr>
      <w:r w:rsidRPr="006051EC">
        <w:rPr>
          <w:rFonts w:ascii="Garamond" w:eastAsia="Garamond" w:hAnsi="Garamond" w:cs="Garamond"/>
          <w:sz w:val="20"/>
        </w:rPr>
        <w:t xml:space="preserve">En cuanto a la legislación que le es aplicable como Servidor Público de la Ciudad de México, a continuación se enlista de manera enunciativa, más </w:t>
      </w:r>
      <w:r w:rsidRPr="006051EC">
        <w:rPr>
          <w:rFonts w:ascii="Garamond" w:eastAsia="Garamond" w:hAnsi="Garamond" w:cs="Garamond"/>
          <w:sz w:val="20"/>
        </w:rPr>
        <w:t>no limitativa, siendo las siguientes legislaciones:</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Constitución Política de los Estados Unidos Mexicanos.</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Constitución Política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Federal de Responsabilidades de los Servidores Públicos.</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Federal de los Trabajadores al Servici</w:t>
      </w:r>
      <w:r w:rsidRPr="006051EC">
        <w:rPr>
          <w:rFonts w:ascii="Garamond" w:eastAsia="Garamond" w:hAnsi="Garamond" w:cs="Garamond"/>
          <w:color w:val="000000"/>
          <w:sz w:val="20"/>
        </w:rPr>
        <w:t>o del Estado, Reglamentaria del Apartado B) del artículo 123 Constitucional.</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Orgánica del Poder Ejecutivo y de la Administración Pública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de Transparencia, Acceso a la Información Pública y Rendición de Cuentas de la Ciudad d</w:t>
      </w:r>
      <w:r w:rsidRPr="006051EC">
        <w:rPr>
          <w:rFonts w:ascii="Garamond" w:eastAsia="Garamond" w:hAnsi="Garamond" w:cs="Garamond"/>
          <w:color w:val="000000"/>
          <w:sz w:val="20"/>
        </w:rPr>
        <w:t>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de Protección de Datos Personales en Posesión de Sujetos Obligados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de Austeridad, Transparencia en Remuneraciones, Prestaciones y Ejercicio de Recursos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de Responsabilidades Administrativ</w:t>
      </w:r>
      <w:r w:rsidRPr="006051EC">
        <w:rPr>
          <w:rFonts w:ascii="Garamond" w:eastAsia="Garamond" w:hAnsi="Garamond" w:cs="Garamond"/>
          <w:color w:val="000000"/>
          <w:sz w:val="20"/>
        </w:rPr>
        <w:t>as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Ley de Entrega Recepción de los Recursos de la Administración Pública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Código de Ética de la Administración Pública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Código de Conducta de la Secretaría de Educación, Ciencia, Tecnolo</w:t>
      </w:r>
      <w:r w:rsidRPr="006051EC">
        <w:rPr>
          <w:rFonts w:ascii="Garamond" w:eastAsia="Garamond" w:hAnsi="Garamond" w:cs="Garamond"/>
          <w:color w:val="000000"/>
          <w:sz w:val="20"/>
        </w:rPr>
        <w:t>gía e Innovación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Reglamento Interior del Poder Ejecutivo y de la Administración Pública de la Ciudad de México.</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 xml:space="preserve">Decreto por el que se crea el órgano desconcentrado denominado, Instituto de Estudios Superiores de la Ciudad de México </w:t>
      </w:r>
      <w:r w:rsidRPr="006051EC">
        <w:rPr>
          <w:rFonts w:ascii="Garamond" w:eastAsia="Garamond" w:hAnsi="Garamond" w:cs="Garamond"/>
          <w:color w:val="000000"/>
          <w:sz w:val="20"/>
        </w:rPr>
        <w:t>“Rosario Castellanos”.</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Manual Administrativo del Instituto de Estudios Superiores de la Ciudad de México “Rosario Castellanos”.</w:t>
      </w:r>
    </w:p>
    <w:p w:rsidR="000C15FE" w:rsidRPr="006051EC" w:rsidRDefault="007222F7">
      <w:pPr>
        <w:numPr>
          <w:ilvl w:val="0"/>
          <w:numId w:val="1"/>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Estatuto General del Instituto de Estudios Superiores de la Ciudad de México “Rosario Castellanos”.</w:t>
      </w:r>
    </w:p>
    <w:p w:rsidR="006051EC" w:rsidRPr="006051EC" w:rsidRDefault="007222F7" w:rsidP="006051EC">
      <w:pPr>
        <w:numPr>
          <w:ilvl w:val="0"/>
          <w:numId w:val="1"/>
        </w:numPr>
        <w:pBdr>
          <w:top w:val="nil"/>
          <w:left w:val="nil"/>
          <w:bottom w:val="nil"/>
          <w:right w:val="nil"/>
          <w:between w:val="nil"/>
        </w:pBdr>
        <w:jc w:val="both"/>
        <w:rPr>
          <w:rFonts w:ascii="Garamond" w:eastAsia="Garamond" w:hAnsi="Garamond" w:cs="Garamond"/>
          <w:color w:val="000000"/>
          <w:sz w:val="20"/>
        </w:rPr>
      </w:pPr>
      <w:r w:rsidRPr="006051EC">
        <w:rPr>
          <w:rFonts w:ascii="Garamond" w:eastAsia="Garamond" w:hAnsi="Garamond" w:cs="Garamond"/>
          <w:color w:val="000000"/>
          <w:sz w:val="20"/>
        </w:rPr>
        <w:t>Normas de Convivencia del Instituto de Estudios Superiores de la Ciudad de México “Rosario Castellanos”.</w:t>
      </w:r>
    </w:p>
    <w:p w:rsidR="000C15FE" w:rsidRPr="006051EC" w:rsidRDefault="007222F7">
      <w:pPr>
        <w:jc w:val="center"/>
        <w:rPr>
          <w:rFonts w:ascii="Garamond" w:eastAsia="Garamond" w:hAnsi="Garamond" w:cs="Garamond"/>
          <w:b/>
          <w:sz w:val="20"/>
        </w:rPr>
      </w:pPr>
      <w:r w:rsidRPr="006051EC">
        <w:rPr>
          <w:rFonts w:ascii="Garamond" w:eastAsia="Garamond" w:hAnsi="Garamond" w:cs="Garamond"/>
          <w:b/>
          <w:sz w:val="20"/>
        </w:rPr>
        <w:t>FUNCIONES.</w:t>
      </w:r>
    </w:p>
    <w:p w:rsidR="000C15FE" w:rsidRPr="006051EC" w:rsidRDefault="007222F7">
      <w:pPr>
        <w:jc w:val="both"/>
        <w:rPr>
          <w:rFonts w:ascii="Garamond" w:eastAsia="Garamond" w:hAnsi="Garamond" w:cs="Garamond"/>
          <w:sz w:val="20"/>
        </w:rPr>
      </w:pPr>
      <w:r w:rsidRPr="006051EC">
        <w:rPr>
          <w:rFonts w:ascii="Garamond" w:eastAsia="Garamond" w:hAnsi="Garamond" w:cs="Garamond"/>
          <w:sz w:val="20"/>
        </w:rPr>
        <w:t>Por lo que respecta a las funciones que competen al cargo que ostenta en términos del nombramiento suscrito a su favor, le informo que el de</w:t>
      </w:r>
      <w:r w:rsidRPr="006051EC">
        <w:rPr>
          <w:rFonts w:ascii="Garamond" w:eastAsia="Garamond" w:hAnsi="Garamond" w:cs="Garamond"/>
          <w:sz w:val="20"/>
        </w:rPr>
        <w:t>talle de las mismas se encuentra publicado en el Manual Administrativo del Instituto de Estudios Superiores de la Ciudad de México “Rosario Castellanos”, el cual se encuentra disponible para su consulta mediante el enlace:</w:t>
      </w:r>
    </w:p>
    <w:p w:rsidR="000C15FE" w:rsidRPr="006051EC" w:rsidRDefault="007222F7" w:rsidP="006051EC">
      <w:pPr>
        <w:jc w:val="both"/>
        <w:rPr>
          <w:rFonts w:ascii="Garamond" w:eastAsia="Garamond" w:hAnsi="Garamond" w:cs="Garamond"/>
          <w:sz w:val="20"/>
        </w:rPr>
      </w:pPr>
      <w:hyperlink r:id="rId9">
        <w:r w:rsidRPr="006051EC">
          <w:rPr>
            <w:rFonts w:ascii="Garamond" w:eastAsia="Garamond" w:hAnsi="Garamond" w:cs="Garamond"/>
            <w:color w:val="0000FF"/>
            <w:sz w:val="20"/>
            <w:u w:val="single"/>
          </w:rPr>
          <w:t>https://www.rcastellanos.cdmx.gob.mx/storage/app/media/manual_administrativo.pdf</w:t>
        </w:r>
      </w:hyperlink>
    </w:p>
    <w:p w:rsidR="006051EC" w:rsidRDefault="006051EC">
      <w:pPr>
        <w:spacing w:before="240" w:after="0"/>
        <w:jc w:val="center"/>
        <w:rPr>
          <w:rFonts w:ascii="Garamond" w:eastAsia="Garamond" w:hAnsi="Garamond" w:cs="Garamond"/>
          <w:b/>
          <w:sz w:val="20"/>
        </w:rPr>
      </w:pPr>
    </w:p>
    <w:p w:rsidR="000C15FE" w:rsidRPr="006051EC" w:rsidRDefault="007222F7">
      <w:pPr>
        <w:spacing w:before="240" w:after="0"/>
        <w:jc w:val="center"/>
        <w:rPr>
          <w:rFonts w:ascii="Garamond" w:eastAsia="Garamond" w:hAnsi="Garamond" w:cs="Garamond"/>
          <w:b/>
          <w:sz w:val="20"/>
        </w:rPr>
      </w:pPr>
      <w:bookmarkStart w:id="1" w:name="_GoBack"/>
      <w:bookmarkEnd w:id="1"/>
      <w:r w:rsidRPr="006051EC">
        <w:rPr>
          <w:rFonts w:ascii="Garamond" w:eastAsia="Garamond" w:hAnsi="Garamond" w:cs="Garamond"/>
          <w:b/>
          <w:sz w:val="20"/>
        </w:rPr>
        <w:lastRenderedPageBreak/>
        <w:t>OBLIGACIONES GENERALES.</w:t>
      </w:r>
    </w:p>
    <w:p w:rsidR="000C15FE" w:rsidRPr="006051EC" w:rsidRDefault="007222F7">
      <w:pPr>
        <w:spacing w:before="240" w:after="0"/>
        <w:jc w:val="both"/>
        <w:rPr>
          <w:rFonts w:ascii="Garamond" w:eastAsia="Garamond" w:hAnsi="Garamond" w:cs="Garamond"/>
          <w:sz w:val="20"/>
        </w:rPr>
      </w:pPr>
      <w:r w:rsidRPr="006051EC">
        <w:rPr>
          <w:rFonts w:ascii="Garamond" w:eastAsia="Garamond" w:hAnsi="Garamond" w:cs="Garamond"/>
          <w:sz w:val="20"/>
        </w:rPr>
        <w:t>Las obligaciones generales de los servidores públicos, se encuentran establecidas tanto en el Marco Normativo, descrito en esta notificación, como en la legislación aplicable, de conformidad con las funciones que le son conferidas en virtud del nombramient</w:t>
      </w:r>
      <w:r w:rsidRPr="006051EC">
        <w:rPr>
          <w:rFonts w:ascii="Garamond" w:eastAsia="Garamond" w:hAnsi="Garamond" w:cs="Garamond"/>
          <w:sz w:val="20"/>
        </w:rPr>
        <w:t>o que ostenta y en concordancia con el Manual Administrativo del Instituto de Estudios Superiores de la Ciudad de México.</w:t>
      </w:r>
    </w:p>
    <w:p w:rsidR="000C15FE" w:rsidRPr="006051EC" w:rsidRDefault="007222F7" w:rsidP="006051EC">
      <w:pPr>
        <w:spacing w:before="240" w:after="0"/>
        <w:jc w:val="center"/>
        <w:rPr>
          <w:rFonts w:ascii="Garamond" w:eastAsia="Garamond" w:hAnsi="Garamond" w:cs="Garamond"/>
          <w:b/>
          <w:sz w:val="20"/>
        </w:rPr>
      </w:pPr>
      <w:r w:rsidRPr="006051EC">
        <w:rPr>
          <w:rFonts w:ascii="Garamond" w:eastAsia="Garamond" w:hAnsi="Garamond" w:cs="Garamond"/>
          <w:b/>
          <w:sz w:val="20"/>
        </w:rPr>
        <w:t>OBLIGACIONES ESPECÍFICAS.</w:t>
      </w:r>
    </w:p>
    <w:p w:rsidR="000C15FE" w:rsidRPr="006051EC" w:rsidRDefault="007222F7">
      <w:pPr>
        <w:spacing w:before="240" w:after="0"/>
        <w:jc w:val="both"/>
        <w:rPr>
          <w:rFonts w:ascii="Garamond" w:eastAsia="Garamond" w:hAnsi="Garamond" w:cs="Garamond"/>
          <w:sz w:val="20"/>
        </w:rPr>
      </w:pPr>
      <w:r w:rsidRPr="006051EC">
        <w:rPr>
          <w:rFonts w:ascii="Garamond" w:eastAsia="Garamond" w:hAnsi="Garamond" w:cs="Garamond"/>
          <w:sz w:val="20"/>
        </w:rPr>
        <w:t>Se hace del conocimiento de todos los servidores públicos del Instituto de Estudios Superiores de la Ciudad</w:t>
      </w:r>
      <w:r w:rsidRPr="006051EC">
        <w:rPr>
          <w:rFonts w:ascii="Garamond" w:eastAsia="Garamond" w:hAnsi="Garamond" w:cs="Garamond"/>
          <w:sz w:val="20"/>
        </w:rPr>
        <w:t xml:space="preserve"> de México “Rosario Castellanos”, cuentan con las siguientes obligaciones.</w:t>
      </w:r>
    </w:p>
    <w:p w:rsidR="000C15FE" w:rsidRPr="006051EC" w:rsidRDefault="000C15FE">
      <w:pPr>
        <w:spacing w:after="0"/>
        <w:jc w:val="both"/>
        <w:rPr>
          <w:rFonts w:ascii="Garamond" w:eastAsia="Garamond" w:hAnsi="Garamond" w:cs="Garamond"/>
          <w:sz w:val="20"/>
        </w:rPr>
      </w:pPr>
    </w:p>
    <w:p w:rsidR="000C15FE" w:rsidRPr="006051EC" w:rsidRDefault="007222F7">
      <w:pPr>
        <w:numPr>
          <w:ilvl w:val="0"/>
          <w:numId w:val="2"/>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Actuar bajo los principios de legalidad, honradez, lealtad, imparcialidad y eficiencia en el desempeño de sus funciones.</w:t>
      </w:r>
    </w:p>
    <w:p w:rsidR="000C15FE" w:rsidRPr="006051EC" w:rsidRDefault="007222F7">
      <w:pPr>
        <w:numPr>
          <w:ilvl w:val="0"/>
          <w:numId w:val="2"/>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Presentar su declaración patrimonial de conformidad con lo establecido en el artículo 33 de la Ley de Responsabilidades Administrativas de la Ciudad de México.</w:t>
      </w:r>
    </w:p>
    <w:p w:rsidR="000C15FE" w:rsidRPr="006051EC" w:rsidRDefault="007222F7">
      <w:pPr>
        <w:numPr>
          <w:ilvl w:val="0"/>
          <w:numId w:val="2"/>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 xml:space="preserve">En caso de separación del empleo, cargo o comisión, deberán rendir por escrito el estado de los </w:t>
      </w:r>
      <w:r w:rsidRPr="006051EC">
        <w:rPr>
          <w:rFonts w:ascii="Garamond" w:eastAsia="Garamond" w:hAnsi="Garamond" w:cs="Garamond"/>
          <w:color w:val="000000"/>
          <w:sz w:val="20"/>
        </w:rPr>
        <w:t>asuntos de su competencia y entregar los recursos humanos, materiales y financieros, que les haya sido asignados para el ejercicio de sus funciones, lo anterior de conformidad con la Ley de Entrega Recepción de los Recursos de la Administración Pública.</w:t>
      </w:r>
    </w:p>
    <w:p w:rsidR="000C15FE" w:rsidRPr="006051EC" w:rsidRDefault="007222F7">
      <w:pPr>
        <w:spacing w:before="240" w:after="0"/>
        <w:jc w:val="center"/>
        <w:rPr>
          <w:rFonts w:ascii="Garamond" w:eastAsia="Garamond" w:hAnsi="Garamond" w:cs="Garamond"/>
          <w:b/>
          <w:sz w:val="20"/>
        </w:rPr>
      </w:pPr>
      <w:r w:rsidRPr="006051EC">
        <w:rPr>
          <w:rFonts w:ascii="Garamond" w:eastAsia="Garamond" w:hAnsi="Garamond" w:cs="Garamond"/>
          <w:b/>
          <w:sz w:val="20"/>
        </w:rPr>
        <w:t>CU</w:t>
      </w:r>
      <w:r w:rsidRPr="006051EC">
        <w:rPr>
          <w:rFonts w:ascii="Garamond" w:eastAsia="Garamond" w:hAnsi="Garamond" w:cs="Garamond"/>
          <w:b/>
          <w:sz w:val="20"/>
        </w:rPr>
        <w:t>RSOS MANDATORIOS.</w:t>
      </w:r>
    </w:p>
    <w:p w:rsidR="000C15FE" w:rsidRPr="006051EC" w:rsidRDefault="007222F7">
      <w:pPr>
        <w:spacing w:before="240" w:after="0"/>
        <w:jc w:val="both"/>
        <w:rPr>
          <w:rFonts w:ascii="Garamond" w:eastAsia="Garamond" w:hAnsi="Garamond" w:cs="Garamond"/>
          <w:sz w:val="20"/>
        </w:rPr>
      </w:pPr>
      <w:r w:rsidRPr="006051EC">
        <w:rPr>
          <w:rFonts w:ascii="Garamond" w:eastAsia="Garamond" w:hAnsi="Garamond" w:cs="Garamond"/>
          <w:sz w:val="20"/>
        </w:rPr>
        <w:t>Adicional a lo antes expuesto, se hace del conocimiento de los servidores públicos que se incorporan al Instituto de Estudios Superiores de la Ciudad de México, que como parte de las obligaciones a las que están sujetos se encuentra, la c</w:t>
      </w:r>
      <w:r w:rsidRPr="006051EC">
        <w:rPr>
          <w:rFonts w:ascii="Garamond" w:eastAsia="Garamond" w:hAnsi="Garamond" w:cs="Garamond"/>
          <w:sz w:val="20"/>
        </w:rPr>
        <w:t>apacitación constante, teniendo como cursos mandatorios los que se enlistan a continuación:</w:t>
      </w:r>
    </w:p>
    <w:p w:rsidR="000C15FE" w:rsidRPr="006051EC" w:rsidRDefault="000C15FE">
      <w:pPr>
        <w:spacing w:after="0"/>
        <w:jc w:val="both"/>
        <w:rPr>
          <w:rFonts w:ascii="Garamond" w:eastAsia="Garamond" w:hAnsi="Garamond" w:cs="Garamond"/>
          <w:sz w:val="20"/>
        </w:rPr>
      </w:pPr>
    </w:p>
    <w:p w:rsidR="000C15FE" w:rsidRPr="006051EC" w:rsidRDefault="007222F7">
      <w:pPr>
        <w:numPr>
          <w:ilvl w:val="0"/>
          <w:numId w:val="3"/>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 xml:space="preserve">Curso de la </w:t>
      </w:r>
      <w:r w:rsidRPr="006051EC">
        <w:rPr>
          <w:rFonts w:ascii="Garamond" w:eastAsia="Garamond" w:hAnsi="Garamond" w:cs="Garamond"/>
          <w:b/>
          <w:i/>
          <w:color w:val="000000"/>
          <w:sz w:val="20"/>
        </w:rPr>
        <w:t>“Ley de Transparencia, Acceso a la Información Pública y Rendición de Cuentas de la Ciudad de México”</w:t>
      </w:r>
      <w:r w:rsidRPr="006051EC">
        <w:rPr>
          <w:rFonts w:ascii="Garamond" w:eastAsia="Garamond" w:hAnsi="Garamond" w:cs="Garamond"/>
          <w:color w:val="000000"/>
          <w:sz w:val="20"/>
        </w:rPr>
        <w:t xml:space="preserve"> ,  el cual se puede realizar en línea a través de</w:t>
      </w:r>
      <w:r w:rsidRPr="006051EC">
        <w:rPr>
          <w:rFonts w:ascii="Garamond" w:eastAsia="Garamond" w:hAnsi="Garamond" w:cs="Garamond"/>
          <w:color w:val="000000"/>
          <w:sz w:val="20"/>
        </w:rPr>
        <w:t>l registro en el Aula Virtual de Aprendizaje (AVA): </w:t>
      </w:r>
      <w:hyperlink r:id="rId10">
        <w:r w:rsidRPr="006051EC">
          <w:rPr>
            <w:rFonts w:ascii="Garamond" w:eastAsia="Garamond" w:hAnsi="Garamond" w:cs="Garamond"/>
            <w:color w:val="000000"/>
            <w:sz w:val="20"/>
          </w:rPr>
          <w:t>http://www.infodf.org.mx/ava/acceso/</w:t>
        </w:r>
      </w:hyperlink>
    </w:p>
    <w:p w:rsidR="000C15FE" w:rsidRPr="006051EC" w:rsidRDefault="007222F7">
      <w:pPr>
        <w:numPr>
          <w:ilvl w:val="0"/>
          <w:numId w:val="3"/>
        </w:numPr>
        <w:pBdr>
          <w:top w:val="nil"/>
          <w:left w:val="nil"/>
          <w:bottom w:val="nil"/>
          <w:right w:val="nil"/>
          <w:between w:val="nil"/>
        </w:pBdr>
        <w:spacing w:after="0"/>
        <w:jc w:val="both"/>
        <w:rPr>
          <w:rFonts w:ascii="Garamond" w:eastAsia="Garamond" w:hAnsi="Garamond" w:cs="Garamond"/>
          <w:color w:val="000000"/>
          <w:sz w:val="20"/>
        </w:rPr>
      </w:pPr>
      <w:r w:rsidRPr="006051EC">
        <w:rPr>
          <w:rFonts w:ascii="Garamond" w:eastAsia="Garamond" w:hAnsi="Garamond" w:cs="Garamond"/>
          <w:color w:val="000000"/>
          <w:sz w:val="20"/>
        </w:rPr>
        <w:t>Los que determine la Secretaría de la Contraloría General de la Ciudad de México.</w:t>
      </w:r>
    </w:p>
    <w:p w:rsidR="000C15FE" w:rsidRPr="006051EC" w:rsidRDefault="000C15FE">
      <w:pPr>
        <w:spacing w:after="0"/>
        <w:jc w:val="both"/>
        <w:rPr>
          <w:rFonts w:ascii="Garamond" w:eastAsia="Garamond" w:hAnsi="Garamond" w:cs="Garamond"/>
          <w:sz w:val="20"/>
        </w:rPr>
      </w:pPr>
    </w:p>
    <w:p w:rsidR="000C15FE" w:rsidRPr="006051EC" w:rsidRDefault="007222F7">
      <w:pPr>
        <w:spacing w:after="0"/>
        <w:jc w:val="both"/>
        <w:rPr>
          <w:rFonts w:ascii="Garamond" w:eastAsia="Garamond" w:hAnsi="Garamond" w:cs="Garamond"/>
          <w:sz w:val="20"/>
        </w:rPr>
      </w:pPr>
      <w:r w:rsidRPr="006051EC">
        <w:rPr>
          <w:rFonts w:ascii="Garamond" w:eastAsia="Garamond" w:hAnsi="Garamond" w:cs="Garamond"/>
          <w:sz w:val="20"/>
        </w:rPr>
        <w:t>Enterado del contenido y alc</w:t>
      </w:r>
      <w:r w:rsidRPr="006051EC">
        <w:rPr>
          <w:rFonts w:ascii="Garamond" w:eastAsia="Garamond" w:hAnsi="Garamond" w:cs="Garamond"/>
          <w:sz w:val="20"/>
        </w:rPr>
        <w:t>ance la presente notificación, el servidor público, que se incorpora al Instituto de Estudios Superiores de la Ciudad de México “Rosario Castellanos”, se compromete a su cumplimiento.</w:t>
      </w:r>
    </w:p>
    <w:p w:rsidR="000C15FE" w:rsidRPr="006051EC" w:rsidRDefault="000C15FE">
      <w:pPr>
        <w:spacing w:after="0"/>
        <w:jc w:val="both"/>
        <w:rPr>
          <w:rFonts w:ascii="Garamond" w:eastAsia="Garamond" w:hAnsi="Garamond" w:cs="Garamond"/>
          <w:sz w:val="20"/>
        </w:rPr>
      </w:pPr>
    </w:p>
    <w:p w:rsidR="000C15FE" w:rsidRPr="006051EC" w:rsidRDefault="007222F7">
      <w:pPr>
        <w:spacing w:after="0"/>
        <w:jc w:val="both"/>
        <w:rPr>
          <w:rFonts w:ascii="Garamond" w:eastAsia="Garamond" w:hAnsi="Garamond" w:cs="Garamond"/>
          <w:sz w:val="20"/>
        </w:rPr>
      </w:pPr>
      <w:r w:rsidRPr="006051EC">
        <w:rPr>
          <w:rFonts w:ascii="Garamond" w:eastAsia="Garamond" w:hAnsi="Garamond" w:cs="Garamond"/>
          <w:sz w:val="20"/>
        </w:rPr>
        <w:t>Empleo, cargo o comisión: ________________________</w:t>
      </w:r>
    </w:p>
    <w:p w:rsidR="000C15FE" w:rsidRPr="006051EC" w:rsidRDefault="007222F7">
      <w:pPr>
        <w:spacing w:after="0"/>
        <w:jc w:val="both"/>
        <w:rPr>
          <w:rFonts w:ascii="Garamond" w:eastAsia="Garamond" w:hAnsi="Garamond" w:cs="Garamond"/>
          <w:sz w:val="20"/>
        </w:rPr>
      </w:pPr>
      <w:r w:rsidRPr="006051EC">
        <w:rPr>
          <w:rFonts w:ascii="Garamond" w:eastAsia="Garamond" w:hAnsi="Garamond" w:cs="Garamond"/>
          <w:sz w:val="20"/>
        </w:rPr>
        <w:t>C. _________________</w:t>
      </w:r>
      <w:r w:rsidRPr="006051EC">
        <w:rPr>
          <w:rFonts w:ascii="Garamond" w:eastAsia="Garamond" w:hAnsi="Garamond" w:cs="Garamond"/>
          <w:sz w:val="20"/>
        </w:rPr>
        <w:t>_________________________</w:t>
      </w:r>
    </w:p>
    <w:p w:rsidR="000C15FE" w:rsidRPr="006051EC" w:rsidRDefault="007222F7">
      <w:pPr>
        <w:spacing w:after="0"/>
        <w:jc w:val="both"/>
        <w:rPr>
          <w:rFonts w:ascii="Garamond" w:eastAsia="Garamond" w:hAnsi="Garamond" w:cs="Garamond"/>
          <w:sz w:val="20"/>
        </w:rPr>
      </w:pPr>
      <w:r w:rsidRPr="006051EC">
        <w:rPr>
          <w:rFonts w:ascii="Garamond" w:eastAsia="Garamond" w:hAnsi="Garamond" w:cs="Garamond"/>
          <w:sz w:val="20"/>
        </w:rPr>
        <w:t>Firma: _______________________________________</w:t>
      </w:r>
    </w:p>
    <w:sectPr w:rsidR="000C15FE" w:rsidRPr="006051EC" w:rsidSect="006051EC">
      <w:headerReference w:type="default" r:id="rId11"/>
      <w:footerReference w:type="default" r:id="rId12"/>
      <w:pgSz w:w="12240" w:h="15840"/>
      <w:pgMar w:top="2371" w:right="1325" w:bottom="567" w:left="1701" w:header="227" w:footer="7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F7" w:rsidRDefault="007222F7">
      <w:pPr>
        <w:spacing w:after="0" w:line="240" w:lineRule="auto"/>
      </w:pPr>
      <w:r>
        <w:separator/>
      </w:r>
    </w:p>
  </w:endnote>
  <w:endnote w:type="continuationSeparator" w:id="0">
    <w:p w:rsidR="007222F7" w:rsidRDefault="0072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etropolis">
    <w:altName w:val="Times New Roman"/>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FE" w:rsidRDefault="000C15FE">
    <w:pPr>
      <w:pBdr>
        <w:top w:val="nil"/>
        <w:left w:val="nil"/>
        <w:bottom w:val="nil"/>
        <w:right w:val="nil"/>
        <w:between w:val="nil"/>
      </w:pBdr>
      <w:tabs>
        <w:tab w:val="center" w:pos="4419"/>
        <w:tab w:val="right" w:pos="8838"/>
      </w:tabs>
      <w:spacing w:after="0" w:line="240" w:lineRule="auto"/>
      <w:jc w:val="right"/>
      <w:rPr>
        <w:color w:val="000000"/>
      </w:rPr>
    </w:pPr>
  </w:p>
  <w:p w:rsidR="000C15FE" w:rsidRDefault="007222F7">
    <w:pPr>
      <w:pBdr>
        <w:top w:val="nil"/>
        <w:left w:val="nil"/>
        <w:bottom w:val="nil"/>
        <w:right w:val="nil"/>
        <w:between w:val="nil"/>
      </w:pBdr>
      <w:tabs>
        <w:tab w:val="center" w:pos="4419"/>
        <w:tab w:val="right" w:pos="8838"/>
        <w:tab w:val="center" w:pos="4677"/>
        <w:tab w:val="left" w:pos="7050"/>
      </w:tabs>
      <w:spacing w:after="0" w:line="240" w:lineRule="auto"/>
      <w:rPr>
        <w:color w:val="000000"/>
      </w:rPr>
    </w:pPr>
    <w:r>
      <w:rPr>
        <w:color w:val="000000"/>
      </w:rPr>
      <w:tab/>
    </w:r>
    <w:r>
      <w:rPr>
        <w:color w:val="000000"/>
      </w:rPr>
      <w:tab/>
    </w:r>
    <w:r>
      <w:rPr>
        <w:color w:val="000000"/>
      </w:rPr>
      <w:tab/>
    </w:r>
    <w:r>
      <w:rPr>
        <w:noProof/>
      </w:rPr>
      <w:drawing>
        <wp:anchor distT="0" distB="0" distL="0" distR="0" simplePos="0" relativeHeight="251660288" behindDoc="0" locked="0" layoutInCell="1" hidden="0" allowOverlap="1" wp14:anchorId="7DE3592E" wp14:editId="15E122D7">
          <wp:simplePos x="0" y="0"/>
          <wp:positionH relativeFrom="column">
            <wp:posOffset>4061459</wp:posOffset>
          </wp:positionH>
          <wp:positionV relativeFrom="paragraph">
            <wp:posOffset>11430</wp:posOffset>
          </wp:positionV>
          <wp:extent cx="1828165" cy="361315"/>
          <wp:effectExtent l="0" t="0" r="0" b="0"/>
          <wp:wrapSquare wrapText="bothSides" distT="0" distB="0" distL="0" distR="0"/>
          <wp:docPr id="2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28165" cy="36131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79023F95" wp14:editId="664E4125">
              <wp:simplePos x="0" y="0"/>
              <wp:positionH relativeFrom="column">
                <wp:posOffset>-507999</wp:posOffset>
              </wp:positionH>
              <wp:positionV relativeFrom="paragraph">
                <wp:posOffset>0</wp:posOffset>
              </wp:positionV>
              <wp:extent cx="2564765" cy="1123315"/>
              <wp:effectExtent l="0" t="0" r="0" b="0"/>
              <wp:wrapNone/>
              <wp:docPr id="219" name="219 Rectángulo"/>
              <wp:cNvGraphicFramePr/>
              <a:graphic xmlns:a="http://schemas.openxmlformats.org/drawingml/2006/main">
                <a:graphicData uri="http://schemas.microsoft.com/office/word/2010/wordprocessingShape">
                  <wps:wsp>
                    <wps:cNvSpPr/>
                    <wps:spPr>
                      <a:xfrm>
                        <a:off x="4068380" y="3223105"/>
                        <a:ext cx="2555240" cy="1113790"/>
                      </a:xfrm>
                      <a:prstGeom prst="rect">
                        <a:avLst/>
                      </a:prstGeom>
                      <a:solidFill>
                        <a:schemeClr val="lt1"/>
                      </a:solidFill>
                      <a:ln>
                        <a:noFill/>
                      </a:ln>
                    </wps:spPr>
                    <wps:txbx>
                      <w:txbxContent>
                        <w:p w:rsidR="000C15FE" w:rsidRDefault="007222F7">
                          <w:pPr>
                            <w:spacing w:after="0" w:line="240" w:lineRule="auto"/>
                            <w:jc w:val="both"/>
                            <w:textDirection w:val="btLr"/>
                          </w:pPr>
                          <w:r>
                            <w:rPr>
                              <w:rFonts w:ascii="Source Sans Pro" w:eastAsia="Source Sans Pro" w:hAnsi="Source Sans Pro" w:cs="Source Sans Pro"/>
                              <w:color w:val="808080"/>
                              <w:sz w:val="16"/>
                            </w:rPr>
                            <w:t xml:space="preserve">Avenida Chapultepec 49, Planta Baja, Colonia Centro, </w:t>
                          </w:r>
                        </w:p>
                        <w:p w:rsidR="000C15FE" w:rsidRDefault="007222F7">
                          <w:pPr>
                            <w:spacing w:after="0" w:line="240" w:lineRule="auto"/>
                            <w:jc w:val="both"/>
                            <w:textDirection w:val="btLr"/>
                          </w:pPr>
                          <w:r>
                            <w:rPr>
                              <w:rFonts w:ascii="Source Sans Pro" w:eastAsia="Source Sans Pro" w:hAnsi="Source Sans Pro" w:cs="Source Sans Pro"/>
                              <w:color w:val="808080"/>
                              <w:sz w:val="16"/>
                            </w:rPr>
                            <w:t xml:space="preserve">Alcaldía Cuauhtémoc, C.P. 06010 Ciudad de México, </w:t>
                          </w:r>
                        </w:p>
                        <w:p w:rsidR="000C15FE" w:rsidRDefault="007222F7">
                          <w:pPr>
                            <w:spacing w:after="0" w:line="240" w:lineRule="auto"/>
                            <w:jc w:val="both"/>
                            <w:textDirection w:val="btLr"/>
                          </w:pPr>
                          <w:r>
                            <w:rPr>
                              <w:rFonts w:ascii="Source Sans Pro" w:eastAsia="Source Sans Pro" w:hAnsi="Source Sans Pro" w:cs="Source Sans Pro"/>
                              <w:color w:val="808080"/>
                              <w:sz w:val="16"/>
                            </w:rPr>
                            <w:t>Tel. 5134 0770, extensión 1520.</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0</wp:posOffset>
              </wp:positionV>
              <wp:extent cx="2564765" cy="1123315"/>
              <wp:effectExtent b="0" l="0" r="0" t="0"/>
              <wp:wrapNone/>
              <wp:docPr id="2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64765" cy="1123315"/>
                      </a:xfrm>
                      <a:prstGeom prst="rect"/>
                      <a:ln/>
                    </pic:spPr>
                  </pic:pic>
                </a:graphicData>
              </a:graphic>
            </wp:anchor>
          </w:drawing>
        </mc:Fallback>
      </mc:AlternateContent>
    </w:r>
  </w:p>
  <w:p w:rsidR="000C15FE" w:rsidRDefault="007222F7">
    <w:pPr>
      <w:pBdr>
        <w:top w:val="nil"/>
        <w:left w:val="nil"/>
        <w:bottom w:val="nil"/>
        <w:right w:val="nil"/>
        <w:between w:val="nil"/>
      </w:pBdr>
      <w:tabs>
        <w:tab w:val="left" w:pos="7185"/>
      </w:tabs>
      <w:spacing w:after="0" w:line="240" w:lineRule="auto"/>
      <w:rPr>
        <w:rFonts w:ascii="Source Sans Pro" w:eastAsia="Source Sans Pro" w:hAnsi="Source Sans Pro" w:cs="Source Sans Pro"/>
        <w:color w:val="808080"/>
        <w:sz w:val="21"/>
        <w:szCs w:val="21"/>
      </w:rPr>
    </w:pPr>
    <w:r>
      <w:rPr>
        <w:rFonts w:ascii="Source Sans Pro" w:eastAsia="Source Sans Pro" w:hAnsi="Source Sans Pro" w:cs="Source Sans Pro"/>
        <w:color w:val="808080"/>
        <w:sz w:val="21"/>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F7" w:rsidRDefault="007222F7">
      <w:pPr>
        <w:spacing w:after="0" w:line="240" w:lineRule="auto"/>
      </w:pPr>
      <w:r>
        <w:separator/>
      </w:r>
    </w:p>
  </w:footnote>
  <w:footnote w:type="continuationSeparator" w:id="0">
    <w:p w:rsidR="007222F7" w:rsidRDefault="0072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FE" w:rsidRDefault="007222F7">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rPr>
      <mc:AlternateContent>
        <mc:Choice Requires="wps">
          <w:drawing>
            <wp:anchor distT="45720" distB="45720" distL="114300" distR="114300" simplePos="0" relativeHeight="251658240" behindDoc="0" locked="0" layoutInCell="1" hidden="0" allowOverlap="1" wp14:anchorId="2467F1BB" wp14:editId="42B15A31">
              <wp:simplePos x="0" y="0"/>
              <wp:positionH relativeFrom="column">
                <wp:posOffset>2453640</wp:posOffset>
              </wp:positionH>
              <wp:positionV relativeFrom="paragraph">
                <wp:posOffset>8255</wp:posOffset>
              </wp:positionV>
              <wp:extent cx="3697605" cy="1095375"/>
              <wp:effectExtent l="0" t="0" r="17145" b="28575"/>
              <wp:wrapSquare wrapText="bothSides" distT="45720" distB="45720" distL="114300" distR="114300"/>
              <wp:docPr id="218" name="218 Rectángulo"/>
              <wp:cNvGraphicFramePr/>
              <a:graphic xmlns:a="http://schemas.openxmlformats.org/drawingml/2006/main">
                <a:graphicData uri="http://schemas.microsoft.com/office/word/2010/wordprocessingShape">
                  <wps:wsp>
                    <wps:cNvSpPr/>
                    <wps:spPr>
                      <a:xfrm>
                        <a:off x="0" y="0"/>
                        <a:ext cx="3697605" cy="10953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C15FE" w:rsidRDefault="007222F7">
                          <w:pPr>
                            <w:spacing w:after="100" w:line="258" w:lineRule="auto"/>
                            <w:jc w:val="both"/>
                            <w:textDirection w:val="btLr"/>
                          </w:pPr>
                          <w:r>
                            <w:rPr>
                              <w:rFonts w:ascii="Metropolis" w:eastAsia="Metropolis" w:hAnsi="Metropolis" w:cs="Metropolis"/>
                              <w:b/>
                              <w:color w:val="808080"/>
                              <w:sz w:val="20"/>
                            </w:rPr>
                            <w:t>SECRETARÍA DE EDUCACIÓN, CIENCIA, TECNOLOGÍA E INNOVACIÓN DE LA CIUDAD DE MÉXICO</w:t>
                          </w:r>
                        </w:p>
                        <w:p w:rsidR="000C15FE" w:rsidRDefault="007222F7">
                          <w:pPr>
                            <w:spacing w:after="100" w:line="258" w:lineRule="auto"/>
                            <w:jc w:val="both"/>
                            <w:textDirection w:val="btLr"/>
                          </w:pPr>
                          <w:r>
                            <w:rPr>
                              <w:rFonts w:ascii="Metropolis" w:eastAsia="Metropolis" w:hAnsi="Metropolis" w:cs="Metropolis"/>
                              <w:color w:val="808080"/>
                              <w:sz w:val="18"/>
                            </w:rPr>
                            <w:t>INSTITUTO DE ESTUDIOS SUPERIORES DE LA CIUDAD DE MÉXICO, “ROSARIO CASTELLANOS”</w:t>
                          </w:r>
                        </w:p>
                        <w:p w:rsidR="000C15FE" w:rsidRDefault="007222F7">
                          <w:pPr>
                            <w:spacing w:after="100" w:line="258" w:lineRule="auto"/>
                            <w:jc w:val="both"/>
                            <w:textDirection w:val="btLr"/>
                          </w:pPr>
                          <w:r>
                            <w:rPr>
                              <w:rFonts w:ascii="Metropolis" w:eastAsia="Metropolis" w:hAnsi="Metropolis" w:cs="Metropolis"/>
                              <w:color w:val="808080"/>
                              <w:sz w:val="18"/>
                            </w:rPr>
                            <w:t>DIRECCIÓN DE ADMINISTRACIÓN Y FINANZAS</w:t>
                          </w:r>
                        </w:p>
                        <w:p w:rsidR="000C15FE" w:rsidRDefault="000C15FE">
                          <w:pPr>
                            <w:spacing w:after="100"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218 Rectángulo" o:spid="_x0000_s1026" style="position:absolute;margin-left:193.2pt;margin-top:.65pt;width:291.15pt;height:8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" strokecolor="white">
              <v:stroke startarrowwidth="narrow" startarrowlength="short" endarrowwidth="narrow" endarrowlength="short"/>
              <v:textbox inset="2.53958mm,1.2694mm,2.53958mm,1.2694mm">
                <w:txbxContent>
                  <w:p w:rsidR="000C15FE" w:rsidRDefault="007222F7">
                    <w:pPr>
                      <w:spacing w:after="100" w:line="258" w:lineRule="auto"/>
                      <w:jc w:val="both"/>
                      <w:textDirection w:val="btLr"/>
                    </w:pPr>
                    <w:r>
                      <w:rPr>
                        <w:rFonts w:ascii="Metropolis" w:eastAsia="Metropolis" w:hAnsi="Metropolis" w:cs="Metropolis"/>
                        <w:b/>
                        <w:color w:val="808080"/>
                        <w:sz w:val="20"/>
                      </w:rPr>
                      <w:t>SECRETARÍA DE EDUCACIÓN, CIENCIA, TECNOLOGÍA E INNOVACIÓN DE LA CIUDAD DE MÉXICO</w:t>
                    </w:r>
                  </w:p>
                  <w:p w:rsidR="000C15FE" w:rsidRDefault="007222F7">
                    <w:pPr>
                      <w:spacing w:after="100" w:line="258" w:lineRule="auto"/>
                      <w:jc w:val="both"/>
                      <w:textDirection w:val="btLr"/>
                    </w:pPr>
                    <w:r>
                      <w:rPr>
                        <w:rFonts w:ascii="Metropolis" w:eastAsia="Metropolis" w:hAnsi="Metropolis" w:cs="Metropolis"/>
                        <w:color w:val="808080"/>
                        <w:sz w:val="18"/>
                      </w:rPr>
                      <w:t>INSTITUTO DE ESTUDIOS SUPERIORES DE LA CIUDAD DE MÉXICO, “ROSARIO CASTELLANOS”</w:t>
                    </w:r>
                  </w:p>
                  <w:p w:rsidR="000C15FE" w:rsidRDefault="007222F7">
                    <w:pPr>
                      <w:spacing w:after="100" w:line="258" w:lineRule="auto"/>
                      <w:jc w:val="both"/>
                      <w:textDirection w:val="btLr"/>
                    </w:pPr>
                    <w:r>
                      <w:rPr>
                        <w:rFonts w:ascii="Metropolis" w:eastAsia="Metropolis" w:hAnsi="Metropolis" w:cs="Metropolis"/>
                        <w:color w:val="808080"/>
                        <w:sz w:val="18"/>
                      </w:rPr>
                      <w:t>DIRECCIÓN DE ADMINISTRACIÓN Y FINANZAS</w:t>
                    </w:r>
                  </w:p>
                  <w:p w:rsidR="000C15FE" w:rsidRDefault="000C15FE">
                    <w:pPr>
                      <w:spacing w:after="100" w:line="258" w:lineRule="auto"/>
                      <w:jc w:val="both"/>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28DDD9AD" wp14:editId="61F48D73">
          <wp:simplePos x="0" y="0"/>
          <wp:positionH relativeFrom="column">
            <wp:posOffset>-615314</wp:posOffset>
          </wp:positionH>
          <wp:positionV relativeFrom="paragraph">
            <wp:posOffset>141605</wp:posOffset>
          </wp:positionV>
          <wp:extent cx="3078480" cy="845820"/>
          <wp:effectExtent l="0" t="0" r="0" b="0"/>
          <wp:wrapSquare wrapText="bothSides" distT="0" distB="0" distL="114300" distR="114300"/>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50" t="10281" r="4041" b="11215"/>
                  <a:stretch>
                    <a:fillRect/>
                  </a:stretch>
                </pic:blipFill>
                <pic:spPr>
                  <a:xfrm>
                    <a:off x="0" y="0"/>
                    <a:ext cx="3078480" cy="845820"/>
                  </a:xfrm>
                  <a:prstGeom prst="rect">
                    <a:avLst/>
                  </a:prstGeom>
                  <a:ln/>
                </pic:spPr>
              </pic:pic>
            </a:graphicData>
          </a:graphic>
        </wp:anchor>
      </w:drawing>
    </w:r>
  </w:p>
  <w:p w:rsidR="000C15FE" w:rsidRDefault="000C15FE">
    <w:pPr>
      <w:pBdr>
        <w:top w:val="nil"/>
        <w:left w:val="nil"/>
        <w:bottom w:val="nil"/>
        <w:right w:val="nil"/>
        <w:between w:val="nil"/>
      </w:pBdr>
      <w:tabs>
        <w:tab w:val="center" w:pos="4419"/>
        <w:tab w:val="right" w:pos="8838"/>
      </w:tabs>
      <w:spacing w:after="0" w:line="240" w:lineRule="auto"/>
      <w:rPr>
        <w:color w:val="808080"/>
        <w:sz w:val="21"/>
        <w:szCs w:val="21"/>
      </w:rPr>
    </w:pPr>
  </w:p>
  <w:p w:rsidR="000C15FE" w:rsidRDefault="000C15FE">
    <w:pPr>
      <w:pBdr>
        <w:top w:val="nil"/>
        <w:left w:val="nil"/>
        <w:bottom w:val="nil"/>
        <w:right w:val="nil"/>
        <w:between w:val="nil"/>
      </w:pBdr>
      <w:tabs>
        <w:tab w:val="center" w:pos="4419"/>
        <w:tab w:val="right" w:pos="8838"/>
      </w:tabs>
      <w:spacing w:after="0" w:line="240" w:lineRule="auto"/>
      <w:ind w:hanging="851"/>
      <w:rPr>
        <w:color w:val="808080"/>
        <w:sz w:val="21"/>
        <w:szCs w:val="21"/>
      </w:rPr>
    </w:pPr>
  </w:p>
  <w:p w:rsidR="000C15FE" w:rsidRDefault="000C15FE">
    <w:pPr>
      <w:pBdr>
        <w:top w:val="nil"/>
        <w:left w:val="nil"/>
        <w:bottom w:val="nil"/>
        <w:right w:val="nil"/>
        <w:between w:val="nil"/>
      </w:pBdr>
      <w:tabs>
        <w:tab w:val="center" w:pos="4419"/>
        <w:tab w:val="right" w:pos="8838"/>
      </w:tabs>
      <w:spacing w:after="0" w:line="240" w:lineRule="auto"/>
      <w:rPr>
        <w:color w:val="808080"/>
        <w:sz w:val="21"/>
        <w:szCs w:val="21"/>
      </w:rPr>
    </w:pPr>
  </w:p>
  <w:p w:rsidR="000C15FE" w:rsidRDefault="000C15FE">
    <w:pPr>
      <w:pBdr>
        <w:top w:val="nil"/>
        <w:left w:val="nil"/>
        <w:bottom w:val="nil"/>
        <w:right w:val="nil"/>
        <w:between w:val="nil"/>
      </w:pBdr>
      <w:tabs>
        <w:tab w:val="center" w:pos="4419"/>
        <w:tab w:val="right" w:pos="8838"/>
      </w:tabs>
      <w:spacing w:after="0" w:line="240" w:lineRule="auto"/>
      <w:rPr>
        <w:color w:val="8080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3EC7"/>
    <w:multiLevelType w:val="multilevel"/>
    <w:tmpl w:val="462EBB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491A87"/>
    <w:multiLevelType w:val="multilevel"/>
    <w:tmpl w:val="C78AA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A441263"/>
    <w:multiLevelType w:val="multilevel"/>
    <w:tmpl w:val="01E04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15FE"/>
    <w:rsid w:val="000C15FE"/>
    <w:rsid w:val="006051EC"/>
    <w:rsid w:val="00722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aliases w:val=" Car,Car,para doc. Metro,h,hd,Section Header,Car Car Car Car Car,Car Car Car Car,Car Car Car,Car Car Car Car Car Car Car,Car Car Ca Car,Encabezado1,Car2, Car Car Car Car Car, Car Car Car Car, Car Car Car, Car Car Car Car Car Car Car, Car2"/>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aliases w:val=" Car Car,Car Car,para doc. Metro Car,h Car,hd Car,Section Header Car,Car Car Car Car Car Car,Car Car Car Car Car1,Car Car Car Car1,Car Car Car Car Car Car Car Car,Car Car Ca Car Car,Encabezado1 Car,Car2 Car, Car Car Car Car Car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E1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vistosa - Énfasis 11,Bullet List,FooterText,numbered,Paragraphe de liste1,Bulletr List Paragraph,列出段落,列出段落1,Listas,Lista vistosa - Énfasis 12,Colorful List Accent 1,List Paragraph11,subtitulo 1.1.1,Bullets"/>
    <w:basedOn w:val="Normal"/>
    <w:link w:val="PrrafodelistaCar"/>
    <w:uiPriority w:val="34"/>
    <w:qFormat/>
    <w:rsid w:val="00CB5EFE"/>
    <w:pPr>
      <w:ind w:left="720"/>
      <w:contextualSpacing/>
    </w:pPr>
  </w:style>
  <w:style w:type="character" w:styleId="Refdecomentario">
    <w:name w:val="annotation reference"/>
    <w:basedOn w:val="Fuentedeprrafopredeter"/>
    <w:uiPriority w:val="99"/>
    <w:semiHidden/>
    <w:unhideWhenUsed/>
    <w:rsid w:val="0012499B"/>
    <w:rPr>
      <w:sz w:val="16"/>
      <w:szCs w:val="16"/>
    </w:rPr>
  </w:style>
  <w:style w:type="paragraph" w:styleId="Textocomentario">
    <w:name w:val="annotation text"/>
    <w:basedOn w:val="Normal"/>
    <w:link w:val="TextocomentarioCar"/>
    <w:uiPriority w:val="99"/>
    <w:semiHidden/>
    <w:unhideWhenUsed/>
    <w:rsid w:val="0012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99B"/>
    <w:rPr>
      <w:sz w:val="20"/>
      <w:szCs w:val="20"/>
    </w:rPr>
  </w:style>
  <w:style w:type="paragraph" w:styleId="Asuntodelcomentario">
    <w:name w:val="annotation subject"/>
    <w:basedOn w:val="Textocomentario"/>
    <w:next w:val="Textocomentario"/>
    <w:link w:val="AsuntodelcomentarioCar"/>
    <w:uiPriority w:val="99"/>
    <w:semiHidden/>
    <w:unhideWhenUsed/>
    <w:rsid w:val="0012499B"/>
    <w:rPr>
      <w:b/>
      <w:bCs/>
    </w:rPr>
  </w:style>
  <w:style w:type="character" w:customStyle="1" w:styleId="AsuntodelcomentarioCar">
    <w:name w:val="Asunto del comentario Car"/>
    <w:basedOn w:val="TextocomentarioCar"/>
    <w:link w:val="Asuntodelcomentario"/>
    <w:uiPriority w:val="99"/>
    <w:semiHidden/>
    <w:rsid w:val="0012499B"/>
    <w:rPr>
      <w:b/>
      <w:bCs/>
      <w:sz w:val="20"/>
      <w:szCs w:val="20"/>
    </w:rPr>
  </w:style>
  <w:style w:type="table" w:styleId="Sombreadoclaro-nfasis1">
    <w:name w:val="Light Shading Accent 1"/>
    <w:basedOn w:val="Tablanormal"/>
    <w:uiPriority w:val="60"/>
    <w:rsid w:val="00FB233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2537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archword">
    <w:name w:val="searchword"/>
    <w:basedOn w:val="Fuentedeprrafopredeter"/>
    <w:rsid w:val="007A3194"/>
  </w:style>
  <w:style w:type="character" w:customStyle="1" w:styleId="Mencinsinresolver1">
    <w:name w:val="Mención sin resolver1"/>
    <w:basedOn w:val="Fuentedeprrafopredeter"/>
    <w:uiPriority w:val="99"/>
    <w:semiHidden/>
    <w:unhideWhenUsed/>
    <w:rsid w:val="00302599"/>
    <w:rPr>
      <w:color w:val="605E5C"/>
      <w:shd w:val="clear" w:color="auto" w:fill="E1DFDD"/>
    </w:rPr>
  </w:style>
  <w:style w:type="character" w:customStyle="1" w:styleId="PrrafodelistaCar">
    <w:name w:val="Párrafo de lista Car"/>
    <w:aliases w:val="lp1 Car,List Paragraph1 Car,Lista vistosa - Énfasis 11 Car,Bullet List Car,FooterText Car,numbered Car,Paragraphe de liste1 Car,Bulletr List Paragraph Car,列出段落 Car,列出段落1 Car,Listas Car,Lista vistosa - Énfasis 12 Car,Bullets Car"/>
    <w:link w:val="Prrafodelista"/>
    <w:uiPriority w:val="34"/>
    <w:locked/>
    <w:rsid w:val="00472AA3"/>
  </w:style>
  <w:style w:type="character" w:customStyle="1" w:styleId="Mencinsinresolver2">
    <w:name w:val="Mención sin resolver2"/>
    <w:basedOn w:val="Fuentedeprrafopredeter"/>
    <w:uiPriority w:val="99"/>
    <w:semiHidden/>
    <w:unhideWhenUsed/>
    <w:rsid w:val="00AE0C62"/>
    <w:rPr>
      <w:color w:val="605E5C"/>
      <w:shd w:val="clear" w:color="auto" w:fill="E1DFDD"/>
    </w:rPr>
  </w:style>
  <w:style w:type="character" w:customStyle="1" w:styleId="Ninguno">
    <w:name w:val="Ninguno"/>
    <w:rsid w:val="00D55347"/>
    <w:rPr>
      <w:lang w:val="es-ES_tradnl"/>
    </w:rPr>
  </w:style>
  <w:style w:type="paragraph" w:customStyle="1" w:styleId="Cuerpo">
    <w:name w:val="Cuerpo"/>
    <w:rsid w:val="00D55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encinsinresolver3">
    <w:name w:val="Mención sin resolver3"/>
    <w:basedOn w:val="Fuentedeprrafopredeter"/>
    <w:uiPriority w:val="99"/>
    <w:semiHidden/>
    <w:unhideWhenUsed/>
    <w:rsid w:val="004629F1"/>
    <w:rPr>
      <w:color w:val="605E5C"/>
      <w:shd w:val="clear" w:color="auto" w:fill="E1DFDD"/>
    </w:rPr>
  </w:style>
  <w:style w:type="paragraph" w:styleId="NormalWeb">
    <w:name w:val="Normal (Web)"/>
    <w:basedOn w:val="Normal"/>
    <w:uiPriority w:val="99"/>
    <w:unhideWhenUsed/>
    <w:rsid w:val="00D278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aliases w:val=" Car,Car,para doc. Metro,h,hd,Section Header,Car Car Car Car Car,Car Car Car Car,Car Car Car,Car Car Car Car Car Car Car,Car Car Ca Car,Encabezado1,Car2, Car Car Car Car Car, Car Car Car Car, Car Car Car, Car Car Car Car Car Car Car, Car2"/>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aliases w:val=" Car Car,Car Car,para doc. Metro Car,h Car,hd Car,Section Header Car,Car Car Car Car Car Car,Car Car Car Car Car1,Car Car Car Car1,Car Car Car Car Car Car Car Car,Car Car Ca Car Car,Encabezado1 Car,Car2 Car, Car Car Car Car Car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E13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vistosa - Énfasis 11,Bullet List,FooterText,numbered,Paragraphe de liste1,Bulletr List Paragraph,列出段落,列出段落1,Listas,Lista vistosa - Énfasis 12,Colorful List Accent 1,List Paragraph11,subtitulo 1.1.1,Bullets"/>
    <w:basedOn w:val="Normal"/>
    <w:link w:val="PrrafodelistaCar"/>
    <w:uiPriority w:val="34"/>
    <w:qFormat/>
    <w:rsid w:val="00CB5EFE"/>
    <w:pPr>
      <w:ind w:left="720"/>
      <w:contextualSpacing/>
    </w:pPr>
  </w:style>
  <w:style w:type="character" w:styleId="Refdecomentario">
    <w:name w:val="annotation reference"/>
    <w:basedOn w:val="Fuentedeprrafopredeter"/>
    <w:uiPriority w:val="99"/>
    <w:semiHidden/>
    <w:unhideWhenUsed/>
    <w:rsid w:val="0012499B"/>
    <w:rPr>
      <w:sz w:val="16"/>
      <w:szCs w:val="16"/>
    </w:rPr>
  </w:style>
  <w:style w:type="paragraph" w:styleId="Textocomentario">
    <w:name w:val="annotation text"/>
    <w:basedOn w:val="Normal"/>
    <w:link w:val="TextocomentarioCar"/>
    <w:uiPriority w:val="99"/>
    <w:semiHidden/>
    <w:unhideWhenUsed/>
    <w:rsid w:val="00124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99B"/>
    <w:rPr>
      <w:sz w:val="20"/>
      <w:szCs w:val="20"/>
    </w:rPr>
  </w:style>
  <w:style w:type="paragraph" w:styleId="Asuntodelcomentario">
    <w:name w:val="annotation subject"/>
    <w:basedOn w:val="Textocomentario"/>
    <w:next w:val="Textocomentario"/>
    <w:link w:val="AsuntodelcomentarioCar"/>
    <w:uiPriority w:val="99"/>
    <w:semiHidden/>
    <w:unhideWhenUsed/>
    <w:rsid w:val="0012499B"/>
    <w:rPr>
      <w:b/>
      <w:bCs/>
    </w:rPr>
  </w:style>
  <w:style w:type="character" w:customStyle="1" w:styleId="AsuntodelcomentarioCar">
    <w:name w:val="Asunto del comentario Car"/>
    <w:basedOn w:val="TextocomentarioCar"/>
    <w:link w:val="Asuntodelcomentario"/>
    <w:uiPriority w:val="99"/>
    <w:semiHidden/>
    <w:rsid w:val="0012499B"/>
    <w:rPr>
      <w:b/>
      <w:bCs/>
      <w:sz w:val="20"/>
      <w:szCs w:val="20"/>
    </w:rPr>
  </w:style>
  <w:style w:type="table" w:styleId="Sombreadoclaro-nfasis1">
    <w:name w:val="Light Shading Accent 1"/>
    <w:basedOn w:val="Tablanormal"/>
    <w:uiPriority w:val="60"/>
    <w:rsid w:val="00FB233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2537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earchword">
    <w:name w:val="searchword"/>
    <w:basedOn w:val="Fuentedeprrafopredeter"/>
    <w:rsid w:val="007A3194"/>
  </w:style>
  <w:style w:type="character" w:customStyle="1" w:styleId="Mencinsinresolver1">
    <w:name w:val="Mención sin resolver1"/>
    <w:basedOn w:val="Fuentedeprrafopredeter"/>
    <w:uiPriority w:val="99"/>
    <w:semiHidden/>
    <w:unhideWhenUsed/>
    <w:rsid w:val="00302599"/>
    <w:rPr>
      <w:color w:val="605E5C"/>
      <w:shd w:val="clear" w:color="auto" w:fill="E1DFDD"/>
    </w:rPr>
  </w:style>
  <w:style w:type="character" w:customStyle="1" w:styleId="PrrafodelistaCar">
    <w:name w:val="Párrafo de lista Car"/>
    <w:aliases w:val="lp1 Car,List Paragraph1 Car,Lista vistosa - Énfasis 11 Car,Bullet List Car,FooterText Car,numbered Car,Paragraphe de liste1 Car,Bulletr List Paragraph Car,列出段落 Car,列出段落1 Car,Listas Car,Lista vistosa - Énfasis 12 Car,Bullets Car"/>
    <w:link w:val="Prrafodelista"/>
    <w:uiPriority w:val="34"/>
    <w:locked/>
    <w:rsid w:val="00472AA3"/>
  </w:style>
  <w:style w:type="character" w:customStyle="1" w:styleId="Mencinsinresolver2">
    <w:name w:val="Mención sin resolver2"/>
    <w:basedOn w:val="Fuentedeprrafopredeter"/>
    <w:uiPriority w:val="99"/>
    <w:semiHidden/>
    <w:unhideWhenUsed/>
    <w:rsid w:val="00AE0C62"/>
    <w:rPr>
      <w:color w:val="605E5C"/>
      <w:shd w:val="clear" w:color="auto" w:fill="E1DFDD"/>
    </w:rPr>
  </w:style>
  <w:style w:type="character" w:customStyle="1" w:styleId="Ninguno">
    <w:name w:val="Ninguno"/>
    <w:rsid w:val="00D55347"/>
    <w:rPr>
      <w:lang w:val="es-ES_tradnl"/>
    </w:rPr>
  </w:style>
  <w:style w:type="paragraph" w:customStyle="1" w:styleId="Cuerpo">
    <w:name w:val="Cuerpo"/>
    <w:rsid w:val="00D553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encinsinresolver3">
    <w:name w:val="Mención sin resolver3"/>
    <w:basedOn w:val="Fuentedeprrafopredeter"/>
    <w:uiPriority w:val="99"/>
    <w:semiHidden/>
    <w:unhideWhenUsed/>
    <w:rsid w:val="004629F1"/>
    <w:rPr>
      <w:color w:val="605E5C"/>
      <w:shd w:val="clear" w:color="auto" w:fill="E1DFDD"/>
    </w:rPr>
  </w:style>
  <w:style w:type="paragraph" w:styleId="NormalWeb">
    <w:name w:val="Normal (Web)"/>
    <w:basedOn w:val="Normal"/>
    <w:uiPriority w:val="99"/>
    <w:unhideWhenUsed/>
    <w:rsid w:val="00D27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fodf.org.mx/ava/acceso/" TargetMode="External"/><Relationship Id="rId4" Type="http://schemas.microsoft.com/office/2007/relationships/stylesWithEffects" Target="stylesWithEffects.xml"/><Relationship Id="rId9" Type="http://schemas.openxmlformats.org/officeDocument/2006/relationships/hyperlink" Target="https://www.rcastellanos.cdmx.gob.mx/storage/app/media/manual_administrativ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PTFc2p7SiBkYRXUyhLWpdqdwQ==">AMUW2mVOA2hvfTglbZdsbdXGgHDQfGbrB9GKo44hb/xYXvQvoyMccOzfjL4UYayBLatYMHqCMKDWM3bh0OjfvqenikGVAUi3of6Q+DDv3xWjgJsGbfOT7knKqo7M0fUR0FQaIRHM+WXS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4629</Characters>
  <Application>Microsoft Office Word</Application>
  <DocSecurity>0</DocSecurity>
  <Lines>38</Lines>
  <Paragraphs>10</Paragraphs>
  <ScaleCrop>false</ScaleCrop>
  <Company>HP Inc.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SECTEI</cp:lastModifiedBy>
  <cp:revision>2</cp:revision>
  <dcterms:created xsi:type="dcterms:W3CDTF">2021-03-02T18:11:00Z</dcterms:created>
  <dcterms:modified xsi:type="dcterms:W3CDTF">2021-06-11T15:56:00Z</dcterms:modified>
</cp:coreProperties>
</file>